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="黑体" w:hAnsi="Arial" w:eastAsia="黑体" w:cs="Arial"/>
          <w:b/>
          <w:bCs/>
          <w:kern w:val="0"/>
          <w:sz w:val="32"/>
          <w:szCs w:val="32"/>
        </w:rPr>
      </w:pPr>
      <w:r>
        <w:rPr>
          <w:rFonts w:hint="eastAsia" w:ascii="黑体" w:hAnsi="Arial" w:eastAsia="黑体" w:cs="Arial"/>
          <w:b/>
          <w:bCs/>
          <w:kern w:val="0"/>
          <w:sz w:val="32"/>
          <w:szCs w:val="32"/>
        </w:rPr>
        <w:t>胜利新大</w:t>
      </w:r>
      <w:r>
        <w:rPr>
          <w:rFonts w:hint="eastAsia" w:ascii="黑体" w:hAnsi="Arial" w:eastAsia="黑体" w:cs="Arial"/>
          <w:b/>
          <w:bCs/>
          <w:kern w:val="0"/>
          <w:sz w:val="32"/>
          <w:szCs w:val="32"/>
          <w:lang w:eastAsia="zh-CN"/>
        </w:rPr>
        <w:t>新材料股份有限公司</w:t>
      </w:r>
      <w:r>
        <w:rPr>
          <w:rFonts w:hint="eastAsia" w:ascii="黑体" w:hAnsi="Arial" w:eastAsia="黑体" w:cs="Arial"/>
          <w:b/>
          <w:bCs/>
          <w:kern w:val="0"/>
          <w:sz w:val="32"/>
          <w:szCs w:val="32"/>
        </w:rPr>
        <w:t>招聘简章</w:t>
      </w:r>
    </w:p>
    <w:p>
      <w:pPr>
        <w:widowControl/>
        <w:spacing w:line="360" w:lineRule="auto"/>
        <w:ind w:firstLine="482" w:firstLineChars="200"/>
        <w:jc w:val="left"/>
        <w:rPr>
          <w:rFonts w:ascii="仿宋_GB2312" w:hAnsi="Arial" w:eastAsia="仿宋_GB2312" w:cs="Arial"/>
          <w:b/>
          <w:bCs/>
          <w:kern w:val="0"/>
          <w:sz w:val="24"/>
        </w:rPr>
      </w:pPr>
      <w:r>
        <w:rPr>
          <w:rFonts w:hint="eastAsia" w:ascii="仿宋_GB2312" w:hAnsi="Arial" w:eastAsia="仿宋_GB2312" w:cs="Arial"/>
          <w:b/>
          <w:bCs/>
          <w:kern w:val="0"/>
          <w:sz w:val="24"/>
        </w:rPr>
        <w:t>一、</w:t>
      </w:r>
      <w:r>
        <w:rPr>
          <w:rFonts w:hint="eastAsia" w:ascii="仿宋_GB2312" w:hAnsi="Arial" w:eastAsia="仿宋_GB2312" w:cs="Arial"/>
          <w:b/>
          <w:bCs/>
          <w:kern w:val="0"/>
          <w:sz w:val="24"/>
          <w:lang w:val="en-US" w:eastAsia="zh-CN"/>
        </w:rPr>
        <w:t>公司</w:t>
      </w:r>
      <w:r>
        <w:rPr>
          <w:rFonts w:hint="eastAsia" w:ascii="仿宋_GB2312" w:hAnsi="Arial" w:eastAsia="仿宋_GB2312" w:cs="Arial"/>
          <w:b/>
          <w:bCs/>
          <w:kern w:val="0"/>
          <w:sz w:val="24"/>
        </w:rPr>
        <w:t>简介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胜利新大新材料股份有限公司</w:t>
      </w:r>
      <w:r>
        <w:rPr>
          <w:rFonts w:hint="eastAsia" w:ascii="仿宋_GB2312" w:hAnsi="Arial" w:eastAsia="仿宋_GB2312" w:cs="Arial"/>
          <w:bCs/>
          <w:kern w:val="0"/>
          <w:sz w:val="24"/>
          <w:lang w:eastAsia="zh-CN"/>
        </w:rPr>
        <w:t>（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以下简称胜利新大</w:t>
      </w:r>
      <w:r>
        <w:rPr>
          <w:rFonts w:hint="eastAsia" w:ascii="仿宋_GB2312" w:hAnsi="Arial" w:eastAsia="仿宋_GB2312" w:cs="Arial"/>
          <w:bCs/>
          <w:kern w:val="0"/>
          <w:sz w:val="24"/>
          <w:lang w:eastAsia="zh-CN"/>
        </w:rPr>
        <w:t>）</w:t>
      </w:r>
      <w:r>
        <w:rPr>
          <w:rFonts w:hint="eastAsia" w:ascii="仿宋_GB2312" w:hAnsi="Arial" w:eastAsia="仿宋_GB2312" w:cs="Arial"/>
          <w:bCs/>
          <w:kern w:val="0"/>
          <w:sz w:val="24"/>
        </w:rPr>
        <w:t>成立于2004年，经营范围涉及复合材料和防腐蚀两大产业，业务遍布石油石化、市政、军工、煤层气、电力、海洋、轨道交通等领域。公司是原中国复合材料工业协会会长单位</w:t>
      </w:r>
      <w:r>
        <w:rPr>
          <w:rFonts w:hint="eastAsia" w:ascii="仿宋_GB2312" w:hAnsi="Arial" w:eastAsia="仿宋_GB2312" w:cs="Arial"/>
          <w:bCs/>
          <w:kern w:val="0"/>
          <w:sz w:val="24"/>
          <w:lang w:eastAsia="zh-CN"/>
        </w:rPr>
        <w:t>、</w:t>
      </w:r>
      <w:r>
        <w:rPr>
          <w:rFonts w:hint="eastAsia" w:ascii="仿宋_GB2312" w:hAnsi="Arial" w:eastAsia="仿宋_GB2312" w:cs="Arial"/>
          <w:bCs/>
          <w:kern w:val="0"/>
          <w:sz w:val="24"/>
        </w:rPr>
        <w:t>中国复合材料工业协会公布的综合实力前三强企业、工信部认定的复合材料输油管道行业冠军、国家知识产权示范企业、第五届东营市市长质量奖获奖单位；拥有CNAS国家认可实验室，建有省级工程技术中心、企业技术中心、博士后创新实践基地等省级科技创新平台。“新大”商标是中国驰名商标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“大雁文化”是胜利新大的核心文化，我们始终坚持“新以兴业、大则致远”的经营理念，为实现“品牌新大、健康新大、快乐新大”的百年梦想而不懈努力。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“一次的合作，永远的朋友”。胜利新大愿意与您合作共赢！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20" w:firstLineChars="20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146685</wp:posOffset>
            </wp:positionV>
            <wp:extent cx="6118225" cy="3015615"/>
            <wp:effectExtent l="0" t="0" r="15875" b="13335"/>
            <wp:wrapTight wrapText="bothSides">
              <wp:wrapPolygon>
                <wp:start x="0" y="0"/>
                <wp:lineTo x="0" y="21423"/>
                <wp:lineTo x="21522" y="21423"/>
                <wp:lineTo x="21522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13335</wp:posOffset>
            </wp:positionV>
            <wp:extent cx="6158865" cy="3209925"/>
            <wp:effectExtent l="0" t="0" r="1333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80" w:firstLineChars="20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80" w:firstLineChars="20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80" w:firstLineChars="20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80" w:firstLineChars="20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80" w:firstLineChars="20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80" w:firstLineChars="20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80" w:firstLineChars="20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80" w:firstLineChars="200"/>
        <w:jc w:val="left"/>
        <w:textAlignment w:val="auto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二、人才发展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right="105" w:rightChars="50" w:firstLine="48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通过建立职业生涯发展的双通道，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胜利新大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提倡并指引员工向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专业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方向或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销售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方向发展，实现人岗价值最优匹配，充分发挥员工个人价值，取得职业发展的成功。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188595</wp:posOffset>
            </wp:positionV>
            <wp:extent cx="6305550" cy="3518535"/>
            <wp:effectExtent l="0" t="0" r="0" b="57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05" w:rightChars="50"/>
        <w:jc w:val="left"/>
        <w:textAlignment w:val="auto"/>
        <w:rPr>
          <w:rFonts w:hint="default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/>
          <w:bCs/>
          <w:kern w:val="0"/>
          <w:sz w:val="24"/>
          <w:lang w:eastAsia="zh-CN"/>
        </w:rPr>
      </w:pP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三</w:t>
      </w:r>
      <w:r>
        <w:rPr>
          <w:rFonts w:hint="eastAsia" w:ascii="仿宋_GB2312" w:hAnsi="Arial" w:eastAsia="仿宋_GB2312" w:cs="Arial"/>
          <w:bCs/>
          <w:kern w:val="0"/>
          <w:sz w:val="24"/>
        </w:rPr>
        <w:t>、</w:t>
      </w:r>
      <w:r>
        <w:rPr>
          <w:rFonts w:hint="eastAsia" w:ascii="仿宋_GB2312" w:hAnsi="Arial" w:eastAsia="仿宋_GB2312" w:cs="Arial"/>
          <w:b/>
          <w:bCs/>
          <w:kern w:val="0"/>
          <w:sz w:val="24"/>
          <w:lang w:val="en-US" w:eastAsia="zh-CN"/>
        </w:rPr>
        <w:t>招聘需求</w:t>
      </w:r>
    </w:p>
    <w:tbl>
      <w:tblPr>
        <w:tblStyle w:val="8"/>
        <w:tblW w:w="4992" w:type="pct"/>
        <w:jc w:val="cente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76"/>
        <w:gridCol w:w="2491"/>
        <w:gridCol w:w="2070"/>
        <w:gridCol w:w="2512"/>
        <w:gridCol w:w="150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exact"/>
          <w:jc w:val="center"/>
        </w:trPr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color w:val="000000"/>
                <w:szCs w:val="21"/>
              </w:rPr>
            </w:pPr>
            <w:r>
              <w:rPr>
                <w:rFonts w:hint="default" w:ascii="仿宋_GB2312" w:hAnsi="等线" w:eastAsia="仿宋_GB2312" w:cs="仿宋_GB2312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9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仿宋_GB2312" w:hAnsi="等线" w:eastAsia="仿宋_GB2312" w:cs="仿宋_GB2312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</w:t>
            </w:r>
          </w:p>
        </w:tc>
        <w:tc>
          <w:tcPr>
            <w:tcW w:w="107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color w:val="000000"/>
                <w:kern w:val="0"/>
                <w:szCs w:val="21"/>
                <w:lang w:val="en-US" w:eastAsia="zh-CN" w:bidi="ar"/>
              </w:rPr>
              <w:t>专业类别</w:t>
            </w:r>
          </w:p>
        </w:tc>
        <w:tc>
          <w:tcPr>
            <w:tcW w:w="130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hint="default" w:ascii="仿宋_GB2312" w:hAnsi="等线" w:eastAsia="仿宋_GB2312" w:cs="仿宋_GB2312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77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color w:val="000000"/>
                <w:szCs w:val="21"/>
              </w:rPr>
            </w:pPr>
            <w:r>
              <w:rPr>
                <w:rFonts w:hint="default" w:ascii="仿宋_GB2312" w:hAnsi="等线" w:eastAsia="仿宋_GB2312" w:cs="仿宋_GB2312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人员缺口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9" w:hRule="exact"/>
          <w:jc w:val="center"/>
        </w:trPr>
        <w:tc>
          <w:tcPr>
            <w:tcW w:w="55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  <w:t>1</w:t>
            </w:r>
          </w:p>
        </w:tc>
        <w:tc>
          <w:tcPr>
            <w:tcW w:w="12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管培岗</w:t>
            </w:r>
          </w:p>
        </w:tc>
        <w:tc>
          <w:tcPr>
            <w:tcW w:w="1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理工类</w:t>
            </w:r>
          </w:p>
        </w:tc>
        <w:tc>
          <w:tcPr>
            <w:tcW w:w="130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210" w:leftChars="10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  <w:t>本科及以上</w:t>
            </w:r>
          </w:p>
        </w:tc>
        <w:tc>
          <w:tcPr>
            <w:tcW w:w="7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7" w:hRule="exact"/>
          <w:jc w:val="center"/>
        </w:trPr>
        <w:tc>
          <w:tcPr>
            <w:tcW w:w="55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  <w:t>2</w:t>
            </w:r>
          </w:p>
        </w:tc>
        <w:tc>
          <w:tcPr>
            <w:tcW w:w="12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财务岗</w:t>
            </w:r>
          </w:p>
        </w:tc>
        <w:tc>
          <w:tcPr>
            <w:tcW w:w="1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财务类</w:t>
            </w:r>
          </w:p>
        </w:tc>
        <w:tc>
          <w:tcPr>
            <w:tcW w:w="130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210" w:leftChars="10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</w:p>
        </w:tc>
        <w:tc>
          <w:tcPr>
            <w:tcW w:w="7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7" w:hRule="exact"/>
          <w:jc w:val="center"/>
        </w:trPr>
        <w:tc>
          <w:tcPr>
            <w:tcW w:w="55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  <w:t>3</w:t>
            </w:r>
          </w:p>
        </w:tc>
        <w:tc>
          <w:tcPr>
            <w:tcW w:w="129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技术研发岗</w:t>
            </w:r>
          </w:p>
        </w:tc>
        <w:tc>
          <w:tcPr>
            <w:tcW w:w="1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材料类</w:t>
            </w:r>
          </w:p>
        </w:tc>
        <w:tc>
          <w:tcPr>
            <w:tcW w:w="130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210" w:leftChars="10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  <w:t>硕士及以上</w:t>
            </w:r>
          </w:p>
        </w:tc>
        <w:tc>
          <w:tcPr>
            <w:tcW w:w="7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7" w:hRule="exact"/>
          <w:jc w:val="center"/>
        </w:trPr>
        <w:tc>
          <w:tcPr>
            <w:tcW w:w="55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</w:p>
        </w:tc>
        <w:tc>
          <w:tcPr>
            <w:tcW w:w="12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海洋类</w:t>
            </w:r>
          </w:p>
        </w:tc>
        <w:tc>
          <w:tcPr>
            <w:tcW w:w="130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210" w:leftChars="100" w:firstLine="0" w:firstLineChars="0"/>
              <w:jc w:val="both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</w:p>
        </w:tc>
        <w:tc>
          <w:tcPr>
            <w:tcW w:w="7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2" w:hRule="exact"/>
          <w:jc w:val="center"/>
        </w:trPr>
        <w:tc>
          <w:tcPr>
            <w:tcW w:w="55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</w:p>
        </w:tc>
        <w:tc>
          <w:tcPr>
            <w:tcW w:w="12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</w:p>
        </w:tc>
        <w:tc>
          <w:tcPr>
            <w:tcW w:w="1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化工</w:t>
            </w:r>
            <w:r>
              <w:rPr>
                <w:rFonts w:hint="default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类</w:t>
            </w:r>
          </w:p>
        </w:tc>
        <w:tc>
          <w:tcPr>
            <w:tcW w:w="130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</w:p>
        </w:tc>
        <w:tc>
          <w:tcPr>
            <w:tcW w:w="7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2" w:hRule="exact"/>
          <w:jc w:val="center"/>
        </w:trPr>
        <w:tc>
          <w:tcPr>
            <w:tcW w:w="55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</w:p>
        </w:tc>
        <w:tc>
          <w:tcPr>
            <w:tcW w:w="12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</w:p>
        </w:tc>
        <w:tc>
          <w:tcPr>
            <w:tcW w:w="1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石油类</w:t>
            </w:r>
          </w:p>
        </w:tc>
        <w:tc>
          <w:tcPr>
            <w:tcW w:w="130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color w:val="000000"/>
                <w:szCs w:val="21"/>
              </w:rPr>
            </w:pPr>
          </w:p>
        </w:tc>
        <w:tc>
          <w:tcPr>
            <w:tcW w:w="7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3" w:hRule="exact"/>
          <w:jc w:val="center"/>
        </w:trPr>
        <w:tc>
          <w:tcPr>
            <w:tcW w:w="422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等线" w:eastAsia="仿宋_GB2312" w:cs="仿宋_GB2312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等线" w:eastAsia="仿宋_GB2312" w:cs="仿宋_GB2312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7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  <w:lang w:val="en-US" w:eastAsia="zh-CN"/>
              </w:rPr>
              <w:t>36</w:t>
            </w: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hint="eastAsia" w:ascii="仿宋_GB2312" w:hAnsi="Arial" w:eastAsia="仿宋_GB2312" w:cs="Arial"/>
          <w:b/>
          <w:bCs/>
          <w:kern w:val="0"/>
          <w:sz w:val="24"/>
          <w:lang w:val="en-US" w:eastAsia="zh-CN"/>
        </w:rPr>
      </w:pPr>
    </w:p>
    <w:p>
      <w:pPr>
        <w:widowControl/>
        <w:spacing w:line="360" w:lineRule="auto"/>
        <w:ind w:firstLine="482" w:firstLineChars="200"/>
        <w:jc w:val="left"/>
        <w:rPr>
          <w:rFonts w:hint="eastAsia" w:ascii="仿宋_GB2312" w:hAnsi="Arial" w:eastAsia="仿宋_GB2312" w:cs="Arial"/>
          <w:b/>
          <w:bCs/>
          <w:kern w:val="0"/>
          <w:sz w:val="24"/>
          <w:lang w:val="en-US" w:eastAsia="zh-CN"/>
        </w:rPr>
      </w:pPr>
    </w:p>
    <w:p>
      <w:pPr>
        <w:widowControl/>
        <w:spacing w:line="360" w:lineRule="auto"/>
        <w:ind w:firstLine="482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/>
          <w:bCs/>
          <w:kern w:val="0"/>
          <w:sz w:val="24"/>
          <w:lang w:val="en-US" w:eastAsia="zh-CN"/>
        </w:rPr>
        <w:t>四</w:t>
      </w:r>
      <w:r>
        <w:rPr>
          <w:rFonts w:hint="eastAsia" w:ascii="仿宋_GB2312" w:hAnsi="Arial" w:eastAsia="仿宋_GB2312" w:cs="Arial"/>
          <w:b/>
          <w:bCs/>
          <w:kern w:val="0"/>
          <w:sz w:val="24"/>
        </w:rPr>
        <w:t>、薪酬待遇</w:t>
      </w:r>
    </w:p>
    <w:p>
      <w:pPr>
        <w:widowControl/>
        <w:spacing w:line="360" w:lineRule="auto"/>
        <w:ind w:firstLine="480" w:firstLineChars="200"/>
        <w:jc w:val="left"/>
        <w:rPr>
          <w:rFonts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1、入职实习期：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color w:val="auto"/>
          <w:kern w:val="0"/>
          <w:sz w:val="24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24"/>
        </w:rPr>
        <w:t>实习期5个月；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硕士8000元/月。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2、定岗后：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仿宋_GB2312" w:hAnsi="Arial" w:eastAsia="仿宋_GB2312" w:cs="Arial"/>
          <w:bCs/>
          <w:kern w:val="0"/>
          <w:sz w:val="24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硕士转正工资8000-12000元/月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仿宋_GB2312" w:hAnsi="Arial" w:eastAsia="仿宋_GB2312" w:cs="Arial"/>
          <w:bCs/>
          <w:kern w:val="0"/>
          <w:sz w:val="24"/>
          <w:lang w:val="en-US" w:eastAsia="zh-CN"/>
        </w:rPr>
      </w:pP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3、博士、特殊人才薪酬待遇可面谈。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仿宋_GB2312" w:hAnsi="Arial" w:eastAsia="仿宋_GB2312" w:cs="Arial"/>
          <w:b/>
          <w:kern w:val="0"/>
          <w:sz w:val="24"/>
        </w:rPr>
      </w:pPr>
      <w:r>
        <w:rPr>
          <w:rFonts w:hint="eastAsia" w:ascii="仿宋_GB2312" w:hAnsi="Arial" w:eastAsia="仿宋_GB2312" w:cs="Arial"/>
          <w:b/>
          <w:kern w:val="0"/>
          <w:sz w:val="24"/>
          <w:lang w:val="en-US" w:eastAsia="zh-CN"/>
        </w:rPr>
        <w:t>五</w:t>
      </w:r>
      <w:r>
        <w:rPr>
          <w:rFonts w:hint="eastAsia" w:ascii="仿宋_GB2312" w:hAnsi="Arial" w:eastAsia="仿宋_GB2312" w:cs="Arial"/>
          <w:b/>
          <w:kern w:val="0"/>
          <w:sz w:val="24"/>
        </w:rPr>
        <w:t>、福利待遇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保险缴纳：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员工</w:t>
      </w: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入职当月缴纳五险一金</w:t>
      </w:r>
      <w:r>
        <w:rPr>
          <w:rFonts w:hint="eastAsia" w:ascii="仿宋_GB2312" w:hAnsi="Arial" w:eastAsia="仿宋_GB2312" w:cs="Arial"/>
          <w:bCs/>
          <w:kern w:val="0"/>
          <w:sz w:val="24"/>
        </w:rPr>
        <w:t>；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员工福利：公司定期发放工服、劳保用品，每年一次健康体检，中秋福利，春节福利；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食宿交通：公司每天有固定发往生活区的班车，免费提供住宿（中央空调、电视、免费上网、独立卫生间），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平价工作餐</w:t>
      </w:r>
      <w:r>
        <w:rPr>
          <w:rFonts w:hint="eastAsia" w:ascii="仿宋_GB2312" w:hAnsi="Arial" w:eastAsia="仿宋_GB2312" w:cs="Arial"/>
          <w:bCs/>
          <w:kern w:val="0"/>
          <w:sz w:val="24"/>
        </w:rPr>
        <w:t>；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娱乐休闲：公司内设有台球室、乒乓球室、篮球场、健身区。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东营市人才补贴：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5年内博士每人每月补贴4000元，</w:t>
      </w:r>
      <w:r>
        <w:rPr>
          <w:rFonts w:hint="eastAsia" w:ascii="仿宋_GB2312" w:hAnsi="Arial" w:eastAsia="仿宋_GB2312" w:cs="Arial"/>
          <w:bCs/>
          <w:kern w:val="0"/>
          <w:sz w:val="24"/>
        </w:rPr>
        <w:t>3年内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双一流专业硕士</w:t>
      </w:r>
      <w:r>
        <w:rPr>
          <w:rFonts w:hint="eastAsia" w:ascii="仿宋_GB2312" w:hAnsi="Arial" w:eastAsia="仿宋_GB2312" w:cs="Arial"/>
          <w:bCs/>
          <w:kern w:val="0"/>
          <w:sz w:val="24"/>
        </w:rPr>
        <w:t>每人每月补贴3000元，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非双一流硕士</w:t>
      </w:r>
      <w:r>
        <w:rPr>
          <w:rFonts w:hint="eastAsia" w:ascii="仿宋_GB2312" w:hAnsi="Arial" w:eastAsia="仿宋_GB2312" w:cs="Arial"/>
          <w:bCs/>
          <w:kern w:val="0"/>
          <w:sz w:val="24"/>
        </w:rPr>
        <w:t>每人每月补贴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2</w:t>
      </w:r>
      <w:r>
        <w:rPr>
          <w:rFonts w:hint="eastAsia" w:ascii="仿宋_GB2312" w:hAnsi="Arial" w:eastAsia="仿宋_GB2312" w:cs="Arial"/>
          <w:bCs/>
          <w:kern w:val="0"/>
          <w:sz w:val="24"/>
        </w:rPr>
        <w:t>000元。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仿宋_GB2312" w:hAnsi="Arial" w:eastAsia="仿宋_GB2312" w:cs="Arial"/>
          <w:b/>
          <w:bCs w:val="0"/>
          <w:kern w:val="0"/>
          <w:sz w:val="24"/>
          <w:lang w:val="en-US" w:eastAsia="zh-CN"/>
        </w:rPr>
      </w:pPr>
      <w:r>
        <w:rPr>
          <w:rFonts w:hint="eastAsia" w:ascii="仿宋_GB2312" w:hAnsi="Arial" w:eastAsia="仿宋_GB2312" w:cs="Arial"/>
          <w:b/>
          <w:bCs w:val="0"/>
          <w:kern w:val="0"/>
          <w:sz w:val="24"/>
          <w:lang w:val="en-US" w:eastAsia="zh-CN"/>
        </w:rPr>
        <w:t>六</w:t>
      </w:r>
      <w:r>
        <w:rPr>
          <w:rFonts w:hint="eastAsia" w:ascii="仿宋_GB2312" w:hAnsi="Arial" w:eastAsia="仿宋_GB2312" w:cs="Arial"/>
          <w:b/>
          <w:bCs w:val="0"/>
          <w:kern w:val="0"/>
          <w:sz w:val="24"/>
        </w:rPr>
        <w:t>、工作地点</w:t>
      </w:r>
      <w:r>
        <w:rPr>
          <w:rFonts w:hint="eastAsia" w:ascii="仿宋_GB2312" w:hAnsi="Arial" w:eastAsia="仿宋_GB2312" w:cs="Arial"/>
          <w:b/>
          <w:bCs w:val="0"/>
          <w:kern w:val="0"/>
          <w:sz w:val="24"/>
          <w:lang w:val="en-US" w:eastAsia="zh-CN"/>
        </w:rPr>
        <w:t>.</w:t>
      </w:r>
    </w:p>
    <w:p>
      <w:pPr>
        <w:widowControl/>
        <w:spacing w:line="360" w:lineRule="auto"/>
        <w:ind w:firstLine="480" w:firstLineChars="200"/>
        <w:jc w:val="left"/>
        <w:rPr>
          <w:rFonts w:hint="default" w:ascii="仿宋_GB2312" w:hAnsi="Arial" w:eastAsia="仿宋_GB2312" w:cs="Arial"/>
          <w:bCs/>
          <w:color w:val="auto"/>
          <w:kern w:val="0"/>
          <w:sz w:val="24"/>
          <w:lang w:val="en-US" w:eastAsia="zh-CN"/>
        </w:rPr>
      </w:pPr>
      <w:r>
        <w:rPr>
          <w:rFonts w:hint="eastAsia" w:ascii="仿宋_GB2312" w:hAnsi="Arial" w:eastAsia="仿宋_GB2312" w:cs="Arial"/>
          <w:bCs/>
          <w:color w:val="auto"/>
          <w:kern w:val="0"/>
          <w:sz w:val="24"/>
          <w:lang w:val="en-US" w:eastAsia="zh-CN"/>
        </w:rPr>
        <w:t>东营、北京、大庆、泰州、克拉玛依等</w:t>
      </w:r>
    </w:p>
    <w:p>
      <w:pPr>
        <w:widowControl/>
        <w:spacing w:line="360" w:lineRule="auto"/>
        <w:ind w:firstLine="482" w:firstLineChars="200"/>
        <w:jc w:val="left"/>
        <w:rPr>
          <w:rFonts w:ascii="仿宋_GB2312" w:hAnsi="Arial" w:eastAsia="仿宋_GB2312" w:cs="Arial"/>
          <w:b/>
          <w:bCs w:val="0"/>
          <w:kern w:val="0"/>
          <w:sz w:val="24"/>
        </w:rPr>
      </w:pPr>
      <w:r>
        <w:rPr>
          <w:rFonts w:hint="eastAsia" w:ascii="仿宋_GB2312" w:hAnsi="Arial" w:eastAsia="仿宋_GB2312" w:cs="Arial"/>
          <w:b/>
          <w:bCs w:val="0"/>
          <w:kern w:val="0"/>
          <w:sz w:val="24"/>
          <w:lang w:val="en-US" w:eastAsia="zh-CN"/>
        </w:rPr>
        <w:t>七</w:t>
      </w:r>
      <w:r>
        <w:rPr>
          <w:rFonts w:hint="eastAsia" w:ascii="仿宋_GB2312" w:hAnsi="Arial" w:eastAsia="仿宋_GB2312" w:cs="Arial"/>
          <w:b/>
          <w:bCs w:val="0"/>
          <w:kern w:val="0"/>
          <w:sz w:val="24"/>
        </w:rPr>
        <w:t>、</w:t>
      </w:r>
      <w:r>
        <w:rPr>
          <w:rFonts w:hint="eastAsia" w:ascii="仿宋_GB2312" w:hAnsi="Arial" w:eastAsia="仿宋_GB2312" w:cs="Arial"/>
          <w:b/>
          <w:bCs w:val="0"/>
          <w:kern w:val="0"/>
          <w:sz w:val="24"/>
          <w:lang w:val="en-US" w:eastAsia="zh-CN"/>
        </w:rPr>
        <w:t>人力资源部</w:t>
      </w:r>
      <w:r>
        <w:rPr>
          <w:rFonts w:hint="eastAsia" w:ascii="仿宋_GB2312" w:hAnsi="Arial" w:eastAsia="仿宋_GB2312" w:cs="Arial"/>
          <w:b/>
          <w:bCs w:val="0"/>
          <w:kern w:val="0"/>
          <w:sz w:val="24"/>
        </w:rPr>
        <w:t>联系方式</w:t>
      </w:r>
    </w:p>
    <w:p>
      <w:pPr>
        <w:widowControl/>
        <w:spacing w:line="360" w:lineRule="auto"/>
        <w:ind w:firstLine="480" w:firstLineChars="200"/>
        <w:jc w:val="left"/>
        <w:rPr>
          <w:rFonts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地址：山东省东营市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开发区北一路86</w:t>
      </w:r>
      <w:r>
        <w:rPr>
          <w:rFonts w:hint="eastAsia" w:ascii="仿宋_GB2312" w:hAnsi="Arial" w:eastAsia="仿宋_GB2312" w:cs="Arial"/>
          <w:bCs/>
          <w:kern w:val="0"/>
          <w:sz w:val="24"/>
        </w:rPr>
        <w:t>号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2幢</w:t>
      </w:r>
      <w:r>
        <w:rPr>
          <w:rFonts w:hint="eastAsia" w:ascii="仿宋_GB2312" w:hAnsi="Arial" w:eastAsia="仿宋_GB2312" w:cs="Arial"/>
          <w:bCs/>
          <w:kern w:val="0"/>
          <w:sz w:val="24"/>
        </w:rPr>
        <w:t>人力资源部</w:t>
      </w:r>
    </w:p>
    <w:p>
      <w:pPr>
        <w:widowControl/>
        <w:spacing w:line="360" w:lineRule="auto"/>
        <w:ind w:firstLine="480" w:firstLineChars="200"/>
        <w:jc w:val="left"/>
        <w:rPr>
          <w:rFonts w:hint="default" w:ascii="仿宋_GB2312" w:hAnsi="Arial" w:eastAsia="仿宋_GB2312" w:cs="Arial"/>
          <w:bCs/>
          <w:kern w:val="0"/>
          <w:sz w:val="24"/>
          <w:lang w:val="en-US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联系人：</w:t>
      </w:r>
      <w:r>
        <w:rPr>
          <w:rFonts w:hint="eastAsia" w:ascii="仿宋_GB2312" w:hAnsi="Arial" w:eastAsia="仿宋_GB2312" w:cs="Arial"/>
          <w:bCs/>
          <w:kern w:val="0"/>
          <w:sz w:val="24"/>
          <w:lang w:val="en-US" w:eastAsia="zh-CN"/>
        </w:rPr>
        <w:t>唐显峻 0546-8532640 18562396168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Cs/>
          <w:kern w:val="0"/>
          <w:sz w:val="24"/>
        </w:rPr>
      </w:pPr>
      <w:r>
        <w:rPr>
          <w:rFonts w:hint="eastAsia" w:ascii="仿宋_GB2312" w:hAnsi="Arial" w:eastAsia="仿宋_GB2312" w:cs="Arial"/>
          <w:bCs/>
          <w:kern w:val="0"/>
          <w:sz w:val="24"/>
        </w:rPr>
        <w:t>邮箱：</w:t>
      </w:r>
      <w:r>
        <w:rPr>
          <w:rFonts w:ascii="仿宋_GB2312" w:hAnsi="Arial" w:eastAsia="仿宋_GB2312" w:cs="Arial"/>
          <w:bCs/>
          <w:kern w:val="0"/>
          <w:sz w:val="24"/>
        </w:rPr>
        <w:fldChar w:fldCharType="begin"/>
      </w:r>
      <w:r>
        <w:rPr>
          <w:rFonts w:ascii="仿宋_GB2312" w:hAnsi="Arial" w:eastAsia="仿宋_GB2312" w:cs="Arial"/>
          <w:bCs/>
          <w:kern w:val="0"/>
          <w:sz w:val="24"/>
        </w:rPr>
        <w:instrText xml:space="preserve"> HYPERLINK "mailto:</w:instrText>
      </w:r>
      <w:r>
        <w:rPr>
          <w:rFonts w:hint="eastAsia" w:ascii="仿宋_GB2312" w:hAnsi="Arial" w:eastAsia="仿宋_GB2312" w:cs="Arial"/>
          <w:bCs/>
          <w:kern w:val="0"/>
          <w:sz w:val="24"/>
        </w:rPr>
        <w:instrText xml:space="preserve">sdxdrlzyb@163.com</w:instrText>
      </w:r>
      <w:r>
        <w:rPr>
          <w:rFonts w:ascii="仿宋_GB2312" w:hAnsi="Arial" w:eastAsia="仿宋_GB2312" w:cs="Arial"/>
          <w:bCs/>
          <w:kern w:val="0"/>
          <w:sz w:val="24"/>
        </w:rPr>
        <w:instrText xml:space="preserve">" </w:instrText>
      </w:r>
      <w:r>
        <w:rPr>
          <w:rFonts w:ascii="仿宋_GB2312" w:hAnsi="Arial" w:eastAsia="仿宋_GB2312" w:cs="Arial"/>
          <w:bCs/>
          <w:kern w:val="0"/>
          <w:sz w:val="24"/>
        </w:rPr>
        <w:fldChar w:fldCharType="separate"/>
      </w:r>
      <w:r>
        <w:rPr>
          <w:rStyle w:val="11"/>
          <w:rFonts w:hint="eastAsia" w:ascii="仿宋_GB2312" w:hAnsi="Arial" w:eastAsia="仿宋_GB2312" w:cs="Arial"/>
          <w:bCs/>
          <w:color w:val="auto"/>
          <w:kern w:val="0"/>
          <w:sz w:val="24"/>
          <w:u w:val="none"/>
          <w:lang w:val="en-US" w:eastAsia="zh-CN"/>
        </w:rPr>
        <w:t>794094077</w:t>
      </w:r>
      <w:r>
        <w:rPr>
          <w:rStyle w:val="11"/>
          <w:rFonts w:hint="eastAsia" w:ascii="仿宋_GB2312" w:hAnsi="Arial" w:eastAsia="仿宋_GB2312" w:cs="Arial"/>
          <w:bCs/>
          <w:color w:val="auto"/>
          <w:kern w:val="0"/>
          <w:sz w:val="24"/>
          <w:u w:val="none"/>
        </w:rPr>
        <w:t>@</w:t>
      </w:r>
      <w:r>
        <w:rPr>
          <w:rStyle w:val="11"/>
          <w:rFonts w:hint="eastAsia" w:ascii="仿宋_GB2312" w:hAnsi="Arial" w:eastAsia="仿宋_GB2312" w:cs="Arial"/>
          <w:bCs/>
          <w:color w:val="auto"/>
          <w:kern w:val="0"/>
          <w:sz w:val="24"/>
          <w:u w:val="none"/>
          <w:lang w:val="en-US" w:eastAsia="zh-CN"/>
        </w:rPr>
        <w:t>qq</w:t>
      </w:r>
      <w:r>
        <w:rPr>
          <w:rStyle w:val="11"/>
          <w:rFonts w:hint="eastAsia" w:ascii="仿宋_GB2312" w:hAnsi="Arial" w:eastAsia="仿宋_GB2312" w:cs="Arial"/>
          <w:bCs/>
          <w:color w:val="auto"/>
          <w:kern w:val="0"/>
          <w:sz w:val="24"/>
          <w:u w:val="none"/>
        </w:rPr>
        <w:t>.com</w:t>
      </w:r>
      <w:r>
        <w:rPr>
          <w:rFonts w:ascii="仿宋_GB2312" w:hAnsi="Arial" w:eastAsia="仿宋_GB2312" w:cs="Arial"/>
          <w:bCs/>
          <w:kern w:val="0"/>
          <w:sz w:val="24"/>
        </w:rPr>
        <w:fldChar w:fldCharType="end"/>
      </w:r>
    </w:p>
    <w:p>
      <w:pPr>
        <w:widowControl/>
        <w:spacing w:line="360" w:lineRule="auto"/>
        <w:ind w:firstLine="482" w:firstLineChars="200"/>
        <w:jc w:val="left"/>
        <w:rPr>
          <w:rFonts w:hint="eastAsia" w:ascii="仿宋_GB2312" w:hAnsi="Arial" w:eastAsia="仿宋_GB2312" w:cs="Arial"/>
          <w:b/>
          <w:bCs/>
          <w:kern w:val="0"/>
          <w:sz w:val="24"/>
          <w:lang w:val="en-US" w:eastAsia="zh-CN"/>
        </w:rPr>
      </w:pPr>
      <w:r>
        <w:rPr>
          <w:rFonts w:hint="eastAsia" w:ascii="仿宋_GB2312" w:hAnsi="Arial" w:eastAsia="仿宋_GB2312" w:cs="Arial"/>
          <w:b/>
          <w:bCs/>
          <w:kern w:val="0"/>
          <w:sz w:val="24"/>
          <w:lang w:val="en-US" w:eastAsia="zh-CN"/>
        </w:rPr>
        <w:t xml:space="preserve"> 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_GB2312" w:hAnsi="Arial" w:eastAsia="仿宋_GB2312" w:cs="Arial"/>
          <w:b w:val="0"/>
          <w:bCs w:val="0"/>
          <w:kern w:val="0"/>
          <w:sz w:val="24"/>
          <w:lang w:val="en-US" w:eastAsia="zh-CN"/>
        </w:rPr>
      </w:pPr>
    </w:p>
    <w:p>
      <w:pPr>
        <w:widowControl/>
        <w:wordWrap w:val="0"/>
        <w:spacing w:line="360" w:lineRule="auto"/>
        <w:ind w:firstLine="480" w:firstLineChars="200"/>
        <w:jc w:val="right"/>
        <w:rPr>
          <w:rFonts w:hint="default" w:ascii="仿宋_GB2312" w:hAnsi="Arial" w:eastAsia="仿宋_GB2312" w:cs="Arial"/>
          <w:b w:val="0"/>
          <w:bCs w:val="0"/>
          <w:kern w:val="0"/>
          <w:sz w:val="24"/>
          <w:lang w:val="en-US" w:eastAsia="zh-CN"/>
        </w:rPr>
      </w:pPr>
      <w:r>
        <w:rPr>
          <w:rFonts w:hint="eastAsia" w:ascii="仿宋_GB2312" w:hAnsi="Arial" w:eastAsia="仿宋_GB2312" w:cs="Arial"/>
          <w:b w:val="0"/>
          <w:bCs w:val="0"/>
          <w:kern w:val="0"/>
          <w:sz w:val="24"/>
          <w:lang w:val="en-US" w:eastAsia="zh-CN"/>
        </w:rPr>
        <w:t xml:space="preserve">                                                     </w:t>
      </w:r>
    </w:p>
    <w:p>
      <w:pPr>
        <w:widowControl/>
        <w:spacing w:line="360" w:lineRule="auto"/>
        <w:ind w:firstLine="480" w:firstLineChars="200"/>
        <w:jc w:val="left"/>
        <w:rPr>
          <w:rFonts w:hint="default" w:ascii="仿宋_GB2312" w:hAnsi="Arial" w:eastAsia="仿宋_GB2312" w:cs="Arial"/>
          <w:b w:val="0"/>
          <w:bCs w:val="0"/>
          <w:kern w:val="0"/>
          <w:sz w:val="24"/>
          <w:lang w:val="en-US" w:eastAsia="zh-CN"/>
        </w:rPr>
      </w:pPr>
      <w:r>
        <w:rPr>
          <w:rFonts w:hint="eastAsia" w:ascii="仿宋_GB2312" w:hAnsi="Arial" w:eastAsia="仿宋_GB2312" w:cs="Arial"/>
          <w:b w:val="0"/>
          <w:bCs w:val="0"/>
          <w:kern w:val="0"/>
          <w:sz w:val="24"/>
          <w:lang w:val="en-US" w:eastAsia="zh-CN"/>
        </w:rPr>
        <w:t xml:space="preserve">                                                    </w:t>
      </w:r>
    </w:p>
    <w:sectPr>
      <w:headerReference r:id="rId3" w:type="default"/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iZGY2MTBhYzk1N2UyMzIzOWNhMGNmNWUzMWQ1ZWQifQ=="/>
  </w:docVars>
  <w:rsids>
    <w:rsidRoot w:val="00EE276E"/>
    <w:rsid w:val="00033B36"/>
    <w:rsid w:val="00073355"/>
    <w:rsid w:val="000C0EA4"/>
    <w:rsid w:val="00100130"/>
    <w:rsid w:val="001123C7"/>
    <w:rsid w:val="00150D75"/>
    <w:rsid w:val="00162346"/>
    <w:rsid w:val="001842F1"/>
    <w:rsid w:val="00187003"/>
    <w:rsid w:val="001878CF"/>
    <w:rsid w:val="001A6C6E"/>
    <w:rsid w:val="001C0E91"/>
    <w:rsid w:val="001D054D"/>
    <w:rsid w:val="001D31DA"/>
    <w:rsid w:val="001F4378"/>
    <w:rsid w:val="00203A8D"/>
    <w:rsid w:val="0022235B"/>
    <w:rsid w:val="00251CF4"/>
    <w:rsid w:val="00254B59"/>
    <w:rsid w:val="00260F7A"/>
    <w:rsid w:val="002C3CFF"/>
    <w:rsid w:val="002D32BA"/>
    <w:rsid w:val="003132DE"/>
    <w:rsid w:val="00313555"/>
    <w:rsid w:val="00345067"/>
    <w:rsid w:val="003537D5"/>
    <w:rsid w:val="00354B75"/>
    <w:rsid w:val="0037255F"/>
    <w:rsid w:val="003C2227"/>
    <w:rsid w:val="003E35B4"/>
    <w:rsid w:val="00443A33"/>
    <w:rsid w:val="004529B0"/>
    <w:rsid w:val="00497027"/>
    <w:rsid w:val="005000BD"/>
    <w:rsid w:val="0050788A"/>
    <w:rsid w:val="00512664"/>
    <w:rsid w:val="00514685"/>
    <w:rsid w:val="005161B3"/>
    <w:rsid w:val="00527F19"/>
    <w:rsid w:val="00540A17"/>
    <w:rsid w:val="00551053"/>
    <w:rsid w:val="00554F4D"/>
    <w:rsid w:val="00570FC4"/>
    <w:rsid w:val="005723E1"/>
    <w:rsid w:val="00575B20"/>
    <w:rsid w:val="00582104"/>
    <w:rsid w:val="005B3421"/>
    <w:rsid w:val="005C05B0"/>
    <w:rsid w:val="005D7FE7"/>
    <w:rsid w:val="006033AC"/>
    <w:rsid w:val="00604296"/>
    <w:rsid w:val="006132DA"/>
    <w:rsid w:val="006606B8"/>
    <w:rsid w:val="006634C6"/>
    <w:rsid w:val="00693E8D"/>
    <w:rsid w:val="006B7025"/>
    <w:rsid w:val="006C45A1"/>
    <w:rsid w:val="006E33B8"/>
    <w:rsid w:val="006F28C7"/>
    <w:rsid w:val="006F650F"/>
    <w:rsid w:val="007353EE"/>
    <w:rsid w:val="00754A64"/>
    <w:rsid w:val="00762E3E"/>
    <w:rsid w:val="007876FA"/>
    <w:rsid w:val="007C2BE8"/>
    <w:rsid w:val="007D3994"/>
    <w:rsid w:val="007D5D25"/>
    <w:rsid w:val="007E528E"/>
    <w:rsid w:val="007F4C92"/>
    <w:rsid w:val="007F543A"/>
    <w:rsid w:val="00862B53"/>
    <w:rsid w:val="008713B5"/>
    <w:rsid w:val="008A3C0F"/>
    <w:rsid w:val="008A3FE9"/>
    <w:rsid w:val="008D1369"/>
    <w:rsid w:val="008E6CDD"/>
    <w:rsid w:val="008F3A34"/>
    <w:rsid w:val="008F676C"/>
    <w:rsid w:val="009253F8"/>
    <w:rsid w:val="009273B9"/>
    <w:rsid w:val="009627E1"/>
    <w:rsid w:val="009910D4"/>
    <w:rsid w:val="00996D5C"/>
    <w:rsid w:val="009971A9"/>
    <w:rsid w:val="009A7BFF"/>
    <w:rsid w:val="009D26EA"/>
    <w:rsid w:val="009E440B"/>
    <w:rsid w:val="009F3161"/>
    <w:rsid w:val="00A7058A"/>
    <w:rsid w:val="00AC61B6"/>
    <w:rsid w:val="00AE18C7"/>
    <w:rsid w:val="00AF5C57"/>
    <w:rsid w:val="00B149B6"/>
    <w:rsid w:val="00B2241B"/>
    <w:rsid w:val="00B25C44"/>
    <w:rsid w:val="00B25D50"/>
    <w:rsid w:val="00B36581"/>
    <w:rsid w:val="00B56A34"/>
    <w:rsid w:val="00B61153"/>
    <w:rsid w:val="00BA590E"/>
    <w:rsid w:val="00BA5AAA"/>
    <w:rsid w:val="00BC7241"/>
    <w:rsid w:val="00BD5654"/>
    <w:rsid w:val="00BF6F41"/>
    <w:rsid w:val="00C01C3F"/>
    <w:rsid w:val="00C247A9"/>
    <w:rsid w:val="00C36B80"/>
    <w:rsid w:val="00C506BC"/>
    <w:rsid w:val="00C616FE"/>
    <w:rsid w:val="00C8150D"/>
    <w:rsid w:val="00C9004B"/>
    <w:rsid w:val="00C9456A"/>
    <w:rsid w:val="00CC0675"/>
    <w:rsid w:val="00CC739E"/>
    <w:rsid w:val="00CE4C8B"/>
    <w:rsid w:val="00CF48FD"/>
    <w:rsid w:val="00CF4A9E"/>
    <w:rsid w:val="00D13491"/>
    <w:rsid w:val="00D14FC8"/>
    <w:rsid w:val="00D57EE4"/>
    <w:rsid w:val="00D824B4"/>
    <w:rsid w:val="00D94F25"/>
    <w:rsid w:val="00D96E3C"/>
    <w:rsid w:val="00DA48AC"/>
    <w:rsid w:val="00DB1E3C"/>
    <w:rsid w:val="00DB7222"/>
    <w:rsid w:val="00DC2D9A"/>
    <w:rsid w:val="00DD5A5F"/>
    <w:rsid w:val="00DF5B6B"/>
    <w:rsid w:val="00E03CD2"/>
    <w:rsid w:val="00E059A5"/>
    <w:rsid w:val="00E24610"/>
    <w:rsid w:val="00E504EA"/>
    <w:rsid w:val="00E5253A"/>
    <w:rsid w:val="00E56983"/>
    <w:rsid w:val="00E670ED"/>
    <w:rsid w:val="00E841D7"/>
    <w:rsid w:val="00E91AAB"/>
    <w:rsid w:val="00E92333"/>
    <w:rsid w:val="00E95D32"/>
    <w:rsid w:val="00EE08AE"/>
    <w:rsid w:val="00EE276E"/>
    <w:rsid w:val="00EF33C6"/>
    <w:rsid w:val="00F041F0"/>
    <w:rsid w:val="00F073CC"/>
    <w:rsid w:val="00F1108A"/>
    <w:rsid w:val="00F26932"/>
    <w:rsid w:val="00F4083F"/>
    <w:rsid w:val="00F82B5B"/>
    <w:rsid w:val="00FA3EFF"/>
    <w:rsid w:val="00FA4B12"/>
    <w:rsid w:val="00FB5B2F"/>
    <w:rsid w:val="00FD0636"/>
    <w:rsid w:val="00FE6215"/>
    <w:rsid w:val="01304A3D"/>
    <w:rsid w:val="0201655C"/>
    <w:rsid w:val="05005966"/>
    <w:rsid w:val="05F214C7"/>
    <w:rsid w:val="05F30C7C"/>
    <w:rsid w:val="074B3D57"/>
    <w:rsid w:val="07AB595A"/>
    <w:rsid w:val="08BE418A"/>
    <w:rsid w:val="0A302B0E"/>
    <w:rsid w:val="0B354000"/>
    <w:rsid w:val="0DE4612F"/>
    <w:rsid w:val="11DD1F3F"/>
    <w:rsid w:val="120831AF"/>
    <w:rsid w:val="15676E88"/>
    <w:rsid w:val="168A1B3D"/>
    <w:rsid w:val="174B617A"/>
    <w:rsid w:val="191914AE"/>
    <w:rsid w:val="1D9023BA"/>
    <w:rsid w:val="203A56F6"/>
    <w:rsid w:val="213A61DB"/>
    <w:rsid w:val="21EC0643"/>
    <w:rsid w:val="249249A2"/>
    <w:rsid w:val="24F44F0C"/>
    <w:rsid w:val="257310FC"/>
    <w:rsid w:val="28B350D0"/>
    <w:rsid w:val="2AE069C1"/>
    <w:rsid w:val="2D50751E"/>
    <w:rsid w:val="2F164298"/>
    <w:rsid w:val="2F257015"/>
    <w:rsid w:val="334B4534"/>
    <w:rsid w:val="35D5538B"/>
    <w:rsid w:val="399A0F09"/>
    <w:rsid w:val="3ABA6AEE"/>
    <w:rsid w:val="3B627C9D"/>
    <w:rsid w:val="3C231E92"/>
    <w:rsid w:val="3F905D15"/>
    <w:rsid w:val="3FC838CE"/>
    <w:rsid w:val="406307B0"/>
    <w:rsid w:val="40724844"/>
    <w:rsid w:val="409113E5"/>
    <w:rsid w:val="449845A9"/>
    <w:rsid w:val="44F4776D"/>
    <w:rsid w:val="456E000B"/>
    <w:rsid w:val="45826B09"/>
    <w:rsid w:val="48F276B8"/>
    <w:rsid w:val="4D417AEA"/>
    <w:rsid w:val="4E602992"/>
    <w:rsid w:val="512F5A16"/>
    <w:rsid w:val="54360342"/>
    <w:rsid w:val="55004890"/>
    <w:rsid w:val="55BA0012"/>
    <w:rsid w:val="56963A99"/>
    <w:rsid w:val="57FE1891"/>
    <w:rsid w:val="580E1C12"/>
    <w:rsid w:val="58DE7A65"/>
    <w:rsid w:val="59403E77"/>
    <w:rsid w:val="5ABA3702"/>
    <w:rsid w:val="5E464535"/>
    <w:rsid w:val="5EE02420"/>
    <w:rsid w:val="6278366D"/>
    <w:rsid w:val="66293473"/>
    <w:rsid w:val="66517DD6"/>
    <w:rsid w:val="67181ADA"/>
    <w:rsid w:val="68866AED"/>
    <w:rsid w:val="68A015F0"/>
    <w:rsid w:val="69481A43"/>
    <w:rsid w:val="69993A57"/>
    <w:rsid w:val="6A7400A2"/>
    <w:rsid w:val="6B1B09AC"/>
    <w:rsid w:val="6D442E47"/>
    <w:rsid w:val="6E3E2342"/>
    <w:rsid w:val="700C21EC"/>
    <w:rsid w:val="707C553E"/>
    <w:rsid w:val="712F7457"/>
    <w:rsid w:val="74192FDA"/>
    <w:rsid w:val="76524853"/>
    <w:rsid w:val="76762793"/>
    <w:rsid w:val="78281131"/>
    <w:rsid w:val="793F2B7E"/>
    <w:rsid w:val="7A4660AD"/>
    <w:rsid w:val="7B926AEE"/>
    <w:rsid w:val="7C80479C"/>
    <w:rsid w:val="7D24705D"/>
    <w:rsid w:val="7D4335D6"/>
    <w:rsid w:val="7E505BC2"/>
    <w:rsid w:val="7FAC70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unhideWhenUsed/>
    <w:qFormat/>
    <w:uiPriority w:val="1"/>
  </w:style>
  <w:style w:type="table" w:default="1" w:styleId="8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autoRedefine/>
    <w:unhideWhenUsed/>
    <w:qFormat/>
    <w:uiPriority w:val="99"/>
    <w:pPr>
      <w:jc w:val="left"/>
    </w:pPr>
  </w:style>
  <w:style w:type="paragraph" w:styleId="3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annotation subject"/>
    <w:basedOn w:val="2"/>
    <w:next w:val="2"/>
    <w:link w:val="15"/>
    <w:autoRedefine/>
    <w:unhideWhenUsed/>
    <w:qFormat/>
    <w:uiPriority w:val="99"/>
    <w:rPr>
      <w:b/>
      <w:bCs/>
    </w:rPr>
  </w:style>
  <w:style w:type="table" w:styleId="9">
    <w:name w:val="Table Grid"/>
    <w:basedOn w:val="8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autoRedefine/>
    <w:unhideWhenUsed/>
    <w:qFormat/>
    <w:uiPriority w:val="99"/>
    <w:rPr>
      <w:color w:val="0000FF"/>
      <w:u w:val="single"/>
    </w:rPr>
  </w:style>
  <w:style w:type="character" w:styleId="12">
    <w:name w:val="annotation reference"/>
    <w:autoRedefine/>
    <w:unhideWhenUsed/>
    <w:qFormat/>
    <w:uiPriority w:val="99"/>
    <w:rPr>
      <w:sz w:val="21"/>
      <w:szCs w:val="21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页脚 字符"/>
    <w:link w:val="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主题 字符"/>
    <w:link w:val="7"/>
    <w:autoRedefine/>
    <w:semiHidden/>
    <w:qFormat/>
    <w:uiPriority w:val="99"/>
    <w:rPr>
      <w:rFonts w:ascii="Times New Roman" w:hAnsi="Times New Roman"/>
      <w:b/>
      <w:bCs/>
      <w:kern w:val="2"/>
      <w:sz w:val="21"/>
      <w:szCs w:val="24"/>
    </w:rPr>
  </w:style>
  <w:style w:type="character" w:customStyle="1" w:styleId="16">
    <w:name w:val="页眉 字符"/>
    <w:link w:val="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批注文字 字符"/>
    <w:link w:val="2"/>
    <w:autoRedefine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8">
    <w:name w:val="批注框文本 字符"/>
    <w:link w:val="3"/>
    <w:autoRedefine/>
    <w:semiHidden/>
    <w:qFormat/>
    <w:uiPriority w:val="99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841</Words>
  <Characters>910</Characters>
  <Lines>10</Lines>
  <Paragraphs>2</Paragraphs>
  <TotalTime>10</TotalTime>
  <ScaleCrop>false</ScaleCrop>
  <LinksUpToDate>false</LinksUpToDate>
  <CharactersWithSpaces>1018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2019-08-20T03:07:00Z</dcterms:created>
  <dc:creator>M8400t</dc:creator>
  <cp:lastModifiedBy>胜利新大唐</cp:lastModifiedBy>
  <cp:lastPrinted>2022-02-25T08:47:00Z</cp:lastPrinted>
  <dcterms:modified xsi:type="dcterms:W3CDTF">2024-03-18T03:20:26Z</dcterms:modified>
  <dc:title>胜利新大实业集团招聘简章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9C7C7DC9D5EC47B4A241EAD218317120_13</vt:lpwstr>
  </property>
</Properties>
</file>